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AC" w:rsidRPr="00876EAC" w:rsidRDefault="00876EAC" w:rsidP="00876E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EAC">
        <w:rPr>
          <w:rFonts w:ascii="Times New Roman" w:hAnsi="Times New Roman" w:cs="Times New Roman"/>
          <w:b/>
          <w:sz w:val="24"/>
          <w:szCs w:val="24"/>
        </w:rPr>
        <w:t>Zabawa</w:t>
      </w:r>
      <w:proofErr w:type="spellEnd"/>
      <w:r w:rsidRPr="00876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b/>
          <w:sz w:val="24"/>
          <w:szCs w:val="24"/>
        </w:rPr>
        <w:t>dydaktyczna</w:t>
      </w:r>
      <w:proofErr w:type="spellEnd"/>
      <w:r w:rsidRPr="00876EA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876EAC">
        <w:rPr>
          <w:rFonts w:ascii="Times New Roman" w:hAnsi="Times New Roman" w:cs="Times New Roman"/>
          <w:b/>
          <w:sz w:val="24"/>
          <w:szCs w:val="24"/>
        </w:rPr>
        <w:t>Złap</w:t>
      </w:r>
      <w:proofErr w:type="spellEnd"/>
      <w:r w:rsidRPr="00876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b/>
          <w:sz w:val="24"/>
          <w:szCs w:val="24"/>
        </w:rPr>
        <w:t>literkę</w:t>
      </w:r>
      <w:proofErr w:type="spellEnd"/>
      <w:r w:rsidRPr="00876EAC">
        <w:rPr>
          <w:rFonts w:ascii="Times New Roman" w:hAnsi="Times New Roman" w:cs="Times New Roman"/>
          <w:b/>
          <w:sz w:val="24"/>
          <w:szCs w:val="24"/>
        </w:rPr>
        <w:t>”</w:t>
      </w:r>
    </w:p>
    <w:p w:rsidR="003B0C3E" w:rsidRPr="00876EAC" w:rsidRDefault="00876EAC" w:rsidP="00876EAC">
      <w:pPr>
        <w:rPr>
          <w:rFonts w:ascii="Times New Roman" w:hAnsi="Times New Roman" w:cs="Times New Roman"/>
          <w:sz w:val="24"/>
          <w:szCs w:val="24"/>
        </w:rPr>
      </w:pPr>
      <w:r w:rsidRPr="00876EAC">
        <w:rPr>
          <w:rFonts w:ascii="Times New Roman" w:hAnsi="Times New Roman" w:cs="Times New Roman"/>
          <w:sz w:val="24"/>
          <w:szCs w:val="24"/>
          <w:lang w:val="pl-PL"/>
        </w:rPr>
        <w:t xml:space="preserve">Każdy z dzieci otrzymuje packę z literką. Zadaniem jest złapać na packę taką samą literkę. Ta zabawa kształtuje gotowość dziecka do nauki czytania i pisania usprawniając koordynację wzrokowo – ruchową, stymulując koncentrację i uwagę dziecka.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Rozwija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zdolności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wzrokowo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przestrzenn</w:t>
      </w:r>
      <w:bookmarkStart w:id="0" w:name="_GoBack"/>
      <w:bookmarkEnd w:id="0"/>
      <w:r w:rsidRPr="00876EA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usprawnia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EAC">
        <w:rPr>
          <w:rFonts w:ascii="Times New Roman" w:hAnsi="Times New Roman" w:cs="Times New Roman"/>
          <w:sz w:val="24"/>
          <w:szCs w:val="24"/>
        </w:rPr>
        <w:t>spostrzegawczość</w:t>
      </w:r>
      <w:proofErr w:type="spellEnd"/>
      <w:r w:rsidRPr="00876EAC">
        <w:rPr>
          <w:rFonts w:ascii="Times New Roman" w:hAnsi="Times New Roman" w:cs="Times New Roman"/>
          <w:sz w:val="24"/>
          <w:szCs w:val="24"/>
        </w:rPr>
        <w:t>.</w:t>
      </w:r>
    </w:p>
    <w:sectPr w:rsidR="003B0C3E" w:rsidRPr="00876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AC"/>
    <w:rsid w:val="003B0C3E"/>
    <w:rsid w:val="008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98413-B6A6-4586-BC1E-590D7214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2022-04-12T16:30:00Z</dcterms:created>
  <dcterms:modified xsi:type="dcterms:W3CDTF">2022-04-12T16:31:00Z</dcterms:modified>
</cp:coreProperties>
</file>